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B47CC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16bis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</w:t>
      </w:r>
      <w:r>
        <w:rPr>
          <w:b/>
          <w:sz w:val="24"/>
          <w:szCs w:val="24"/>
          <w:highlight w:val="none"/>
        </w:rPr>
        <w:t xml:space="preserve">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513662</w:t>
      </w:r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Prague, Czech Republic, Oct. 13-17,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2025</w:t>
      </w:r>
    </w:p>
    <w:p w14:paraId="5014D2BC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4B3E1ABB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11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</w:t>
      </w:r>
    </w:p>
    <w:p w14:paraId="75A598D4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29ED2131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3"/>
      <w:bookmarkStart w:id="3" w:name="OLE_LINK24"/>
      <w:bookmarkStart w:id="4" w:name="OLE_LINK7"/>
      <w:bookmarkStart w:id="5" w:name="OLE_LINK8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>iscussion on</w:t>
      </w:r>
      <w:bookmarkEnd w:id="2"/>
      <w:bookmarkEnd w:id="3"/>
      <w:r>
        <w:rPr>
          <w:rFonts w:hint="eastAsia" w:ascii="Times New Roman" w:hAnsi="Times New Roman"/>
          <w:sz w:val="20"/>
          <w:szCs w:val="20"/>
        </w:rPr>
        <w:t xml:space="preserve"> CSI reporting requirement and testing framework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for </w:t>
      </w:r>
      <w:r>
        <w:rPr>
          <w:rFonts w:hint="eastAsia" w:ascii="Times New Roman" w:hAnsi="Times New Roman"/>
          <w:sz w:val="20"/>
          <w:szCs w:val="20"/>
        </w:rPr>
        <w:t>CSI prediction</w:t>
      </w:r>
    </w:p>
    <w:bookmarkEnd w:id="4"/>
    <w:bookmarkEnd w:id="5"/>
    <w:p w14:paraId="7DB4B095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0D9430A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8" w:name="_GoBack"/>
      <w:bookmarkEnd w:id="8"/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04BDC535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106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8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1D91E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30" w:type="dxa"/>
            <w:noWrap w:val="0"/>
            <w:vAlign w:val="top"/>
          </w:tcPr>
          <w:p w14:paraId="56C0ACA8">
            <w:pPr>
              <w:numPr>
                <w:ilvl w:val="0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59DE7CF8">
            <w:pPr>
              <w:numPr>
                <w:ilvl w:val="1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7BB01FF1">
            <w:pPr>
              <w:numPr>
                <w:ilvl w:val="1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0480D3BB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F40445D">
      <w:pPr>
        <w:spacing w:before="180"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his contribution provides 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core requirements </w:t>
      </w:r>
      <w:r>
        <w:rPr>
          <w:rFonts w:hint="eastAsia" w:ascii="Times New Roman" w:hAnsi="Times New Roman"/>
          <w:sz w:val="20"/>
          <w:szCs w:val="20"/>
        </w:rPr>
        <w:t>for CSI prediction.</w:t>
      </w:r>
    </w:p>
    <w:p w14:paraId="7AD6367C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2"/>
      <w:bookmarkStart w:id="7" w:name="OLE_LINK1"/>
      <w:r>
        <w:rPr>
          <w:rFonts w:ascii="Times New Roman" w:hAnsi="Times New Roman"/>
          <w:i/>
          <w:sz w:val="20"/>
          <w:szCs w:val="20"/>
        </w:rPr>
        <w:t xml:space="preserve"> </w:t>
      </w:r>
    </w:p>
    <w:bookmarkEnd w:id="6"/>
    <w:bookmarkEnd w:id="7"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286B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7382A86">
            <w:pP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-1: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Performance monitoring</w:t>
            </w:r>
          </w:p>
          <w:p w14:paraId="00C4182C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7DDFFA04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RAN4 will introduce requirements for Type 3 performance monitoring for CSI prediction</w:t>
            </w:r>
          </w:p>
          <w:p w14:paraId="148767D7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F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S which requirements are to be introduced.</w:t>
            </w:r>
          </w:p>
          <w:p w14:paraId="29A74FD7">
            <w:pPr>
              <w:tabs>
                <w:tab w:val="left" w:pos="454"/>
              </w:tabs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</w:p>
          <w:p w14:paraId="12AEAF71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-2: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Requirement baseline for monitoring</w:t>
            </w:r>
          </w:p>
          <w:p w14:paraId="528D4EB4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12112244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Introduce the following requirements for CSI performance monitoring:</w:t>
            </w:r>
          </w:p>
          <w:p w14:paraId="365C3A22">
            <w:pPr>
              <w:pStyle w:val="1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Reporting delay</w:t>
            </w:r>
          </w:p>
          <w:p w14:paraId="0B2F035F">
            <w:pPr>
              <w:pStyle w:val="1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FFS how the delay is defined</w:t>
            </w:r>
          </w:p>
          <w:p w14:paraId="25A0FEE6">
            <w:pPr>
              <w:pStyle w:val="1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Reporting accuracy</w:t>
            </w:r>
          </w:p>
          <w:p w14:paraId="2C5F778D">
            <w:pPr>
              <w:pStyle w:val="1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FFS on whether accuracy requirement can be defined/checked</w:t>
            </w:r>
          </w:p>
          <w:p w14:paraId="657A2653">
            <w:pPr>
              <w:pStyle w:val="1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Mapping table – To be checked whether RAN1 captures or RAN4</w:t>
            </w:r>
          </w:p>
          <w:p w14:paraId="1A1D30A5">
            <w:pPr>
              <w:pStyle w:val="1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If it is not feasible to define reporting accuracy requirement or test it, RAN4 will send an LS to RAN1 to inform RAN1 about this</w:t>
            </w:r>
          </w:p>
          <w:p w14:paraId="3D4879C6">
            <w:pPr>
              <w:spacing w:after="180" w:line="240" w:lineRule="exact"/>
              <w:jc w:val="both"/>
              <w:rPr>
                <w:rFonts w:hint="default" w:ascii="Times New Roman" w:hAnsi="Times New Roman" w:cs="Times New Roman"/>
                <w:b w:val="0"/>
                <w:bCs/>
                <w:iCs/>
                <w:sz w:val="20"/>
                <w:szCs w:val="20"/>
                <w:highlight w:val="none"/>
                <w:u w:val="none"/>
                <w:vertAlign w:val="baseline"/>
                <w:lang w:val="en-US" w:eastAsia="zh-CN"/>
              </w:rPr>
            </w:pPr>
          </w:p>
          <w:p w14:paraId="6662FF54">
            <w:pP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-4: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Reporting delay requirement</w:t>
            </w:r>
          </w:p>
          <w:p w14:paraId="7EEA366B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Agreement:</w:t>
            </w:r>
          </w:p>
          <w:p w14:paraId="7A369F34">
            <w:pP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wait for RAN1 decision</w:t>
            </w:r>
          </w:p>
          <w:p w14:paraId="73E438E5">
            <w:pPr>
              <w:spacing w:after="180" w:line="240" w:lineRule="exact"/>
              <w:jc w:val="both"/>
              <w:rPr>
                <w:rFonts w:hint="default" w:ascii="Times New Roman" w:hAnsi="Times New Roman" w:cs="Times New Roman"/>
                <w:b w:val="0"/>
                <w:bCs/>
                <w:iCs/>
                <w:sz w:val="20"/>
                <w:szCs w:val="20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 w14:paraId="601F19FB">
      <w:pPr>
        <w:spacing w:after="180" w:line="240" w:lineRule="exact"/>
        <w:jc w:val="both"/>
        <w:rPr>
          <w:rFonts w:hint="eastAsia" w:ascii="Times New Roman" w:hAnsi="Times New Roman" w:cs="Times New Roman"/>
          <w:b w:val="0"/>
          <w:bCs/>
          <w:iCs/>
          <w:sz w:val="20"/>
          <w:szCs w:val="20"/>
          <w:highlight w:val="none"/>
          <w:u w:val="none"/>
          <w:lang w:val="en-US" w:eastAsia="zh-CN"/>
        </w:rPr>
      </w:pPr>
    </w:p>
    <w:p w14:paraId="6FE9B985">
      <w:pPr>
        <w:spacing w:after="180" w:line="240" w:lineRule="exact"/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</w:t>
      </w:r>
      <w:r>
        <w:rPr>
          <w:rFonts w:hint="default" w:ascii="Times New Roman" w:hAnsi="Times New Roman" w:cs="Times New Roman"/>
          <w:sz w:val="20"/>
          <w:szCs w:val="20"/>
        </w:rPr>
        <w:t>or performance monitoring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, RAN1 agreed to support </w:t>
      </w:r>
      <w:r>
        <w:rPr>
          <w:rFonts w:hint="default" w:ascii="Times New Roman" w:hAnsi="Times New Roman" w:cs="Times New Roman"/>
          <w:sz w:val="20"/>
          <w:szCs w:val="20"/>
        </w:rPr>
        <w:t>SGCS as a performance metric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sz w:val="20"/>
          <w:szCs w:val="20"/>
        </w:rPr>
        <w:t>or performance monitoring type 3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(i.e. UE reports performance metric to NW)</w:t>
      </w:r>
      <w:r>
        <w:rPr>
          <w:rFonts w:hint="default"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In detail, </w:t>
      </w:r>
      <w:r>
        <w:rPr>
          <w:rFonts w:hint="default" w:ascii="Times New Roman" w:hAnsi="Times New Roman" w:cs="Times New Roman"/>
          <w:sz w:val="20"/>
          <w:szCs w:val="20"/>
        </w:rPr>
        <w:t>reporting contents of UE assisted performance monitoring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includes two SGCS: one SGCS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is calculated based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on predicted CSI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 for one inference reporting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 xml:space="preserve">,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and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ground truth CSI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, another SGCS is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based on ground truth CSI a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nd CSI (non-predicted) corresponding to the latest CSI-RS transmission occasion not later than CSI reference resource of the inference reporting instance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 xml:space="preserve">.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FB4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070D38C3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RAN1#120bis meeting</w:t>
            </w:r>
          </w:p>
          <w:p w14:paraId="7F4C48F6">
            <w:pP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C7AB993">
            <w:pP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CSI prediction using UE-side model, for performance monitoring, support UE assisted performance monitoring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subject to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an additional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UE capability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, and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UE assisted performance monitoring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is based on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Type 3 performance monitoring </w:t>
            </w:r>
          </w:p>
          <w:p w14:paraId="6771603D">
            <w:pP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46CF8882">
            <w:pP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D2E85C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 CSI prediction using UE-side model, for performance monitoring type 3, support SGCS as a performance metric. </w:t>
            </w:r>
          </w:p>
          <w:p w14:paraId="0FA7D2BB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  <w:p w14:paraId="66A608CB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RAN1#121 meeting</w:t>
            </w:r>
          </w:p>
          <w:p w14:paraId="2F94F5BE">
            <w:pPr>
              <w:suppressAutoHyphens/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0CB524A">
            <w:pPr>
              <w:widowControl w:val="0"/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For CSI prediction using UE-side model,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reporting contents of UE assisted performance monitoring,</w:t>
            </w:r>
          </w:p>
          <w:p w14:paraId="4A670424">
            <w:pPr>
              <w:widowControl w:val="0"/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one SGCS is calculated based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on predicted CSI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 for one inference reporting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and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ground truth CSI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, another SGCS is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based on ground truth CSI a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nd CSI (non-predicted) corresponding to the latest CSI-RS transmission occasion not later than CSI reference resource of the inference reporting instance</w:t>
            </w:r>
          </w:p>
          <w:p w14:paraId="476E87B2">
            <w:pPr>
              <w:widowControl w:val="0"/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SGCS is reported</w:t>
            </w:r>
          </w:p>
          <w:p w14:paraId="3A2D5988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  <w:t>wideband frequency granularity</w:t>
            </w:r>
          </w:p>
          <w:p w14:paraId="55C120C4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  <w:t>only for one prediction instance configured by NW</w:t>
            </w:r>
          </w:p>
          <w:p w14:paraId="609DBDC5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eastAsia="ko-KR"/>
              </w:rPr>
              <w:t xml:space="preserve">per layer, and the total number of layers is the same as the reported RI in the associated inference report </w:t>
            </w:r>
          </w:p>
          <w:p w14:paraId="37BD5D3B">
            <w:pPr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  <w:t xml:space="preserve">Introduce new RRC parameter for </w:t>
            </w:r>
            <w:r>
              <w:rPr>
                <w:rFonts w:hint="default" w:ascii="Times New Roman" w:hAnsi="Times New Roman" w:cs="Times New Roman"/>
                <w:bCs/>
                <w:iCs/>
                <w:sz w:val="20"/>
                <w:szCs w:val="20"/>
                <w:lang w:eastAsia="ko-KR"/>
              </w:rPr>
              <w:t>reportQuantity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  <w:t>, e.g., ‘SGCS-r19’</w:t>
            </w:r>
          </w:p>
          <w:p w14:paraId="77D5398E">
            <w:pPr>
              <w:numPr>
                <w:ilvl w:val="0"/>
                <w:numId w:val="6"/>
              </w:numPr>
              <w:suppressAutoHyphens/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ko-KR"/>
              </w:rPr>
              <w:t xml:space="preserve">Each SGCS value is quantized with 4-bit </w:t>
            </w:r>
          </w:p>
          <w:p w14:paraId="5B3C7296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15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codepoints are used to uniformly quantize in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ko-KR"/>
              </w:rPr>
              <w:t>range [0.3 1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]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ko-KR"/>
              </w:rPr>
              <w:t xml:space="preserve"> in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linear scale.</w:t>
            </w:r>
          </w:p>
          <w:p w14:paraId="286B5A9F">
            <w:pPr>
              <w:numPr>
                <w:ilvl w:val="1"/>
                <w:numId w:val="6"/>
              </w:numPr>
              <w:suppressAutoHyphens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One codepoint is used to indicate the value range of (0 0.3]</w:t>
            </w:r>
          </w:p>
          <w:p w14:paraId="7EF99870">
            <w:pPr>
              <w:numPr>
                <w:ilvl w:val="0"/>
                <w:numId w:val="6"/>
              </w:numPr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Only one monitoring resource set is configured in the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CSI-ReportConfig</w:t>
            </w:r>
          </w:p>
          <w:p w14:paraId="437314D3">
            <w:pPr>
              <w:numPr>
                <w:ilvl w:val="0"/>
                <w:numId w:val="6"/>
              </w:numPr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one configured time instance (i.e. f-th doppler domain unit in one inference report) for SGCS calculation is configured in the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 xml:space="preserve">CSI-ReportConfig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monitoring, for N4&gt;1</w:t>
            </w:r>
          </w:p>
          <w:p w14:paraId="19F3672E">
            <w:pPr>
              <w:suppressAutoHyphens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286244BA">
            <w:pPr>
              <w:suppressAutoHyphens/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27EAFC2">
            <w:pPr>
              <w:ind w:left="0" w:firstLine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For CSI prediction using UE-side model, support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single UCI part with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the following report format (i.e., CSI field mapping order) among a set of SGCSs. </w:t>
            </w:r>
          </w:p>
          <w:tbl>
            <w:tblPr>
              <w:tblStyle w:val="8"/>
              <w:tblW w:w="5035" w:type="dxa"/>
              <w:jc w:val="cente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035"/>
            </w:tblGrid>
            <w:tr w14:paraId="727001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50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DB3EF3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#1</w:t>
                  </w:r>
                </w:p>
              </w:tc>
            </w:tr>
            <w:tr w14:paraId="72E8FEF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3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3CC95E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#2</w:t>
                  </w:r>
                </w:p>
              </w:tc>
            </w:tr>
            <w:tr w14:paraId="4230561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973DCA">
                  <w:pPr>
                    <w:shd w:val="clear" w:color="auto" w:fill="FFFFFF"/>
                    <w:snapToGrid w:val="0"/>
                    <w:ind w:left="819" w:leftChars="223" w:hanging="284" w:hangingChars="142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14:paraId="22D7160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3D30F5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</w:t>
                  </w:r>
                  <w:r>
                    <w:rPr>
                      <w:rFonts w:hint="default" w:ascii="Times New Roman" w:hAnsi="Times New Roman" w:eastAsia="宋体" w:cs="Times New Roman"/>
                      <w:i/>
                      <w:color w:val="000000"/>
                      <w:sz w:val="20"/>
                      <w:szCs w:val="20"/>
                    </w:rPr>
                    <w:t>v</w:t>
                  </w:r>
                </w:p>
              </w:tc>
            </w:tr>
            <w:tr w14:paraId="72D94BE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B75D93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#1</w:t>
                  </w:r>
                </w:p>
              </w:tc>
            </w:tr>
            <w:tr w14:paraId="0BBEB3C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3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ABDB80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#2</w:t>
                  </w:r>
                </w:p>
              </w:tc>
            </w:tr>
            <w:tr w14:paraId="4CBCDEF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3CEFB5">
                  <w:pPr>
                    <w:shd w:val="clear" w:color="auto" w:fill="FFFFFF"/>
                    <w:snapToGrid w:val="0"/>
                    <w:ind w:left="819" w:leftChars="223" w:hanging="284" w:hangingChars="142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…</w:t>
                  </w:r>
                </w:p>
              </w:tc>
            </w:tr>
            <w:tr w14:paraId="184C56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503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4FE852">
                  <w:pPr>
                    <w:shd w:val="clear" w:color="auto" w:fill="FFFFFF"/>
                    <w:snapToGrid w:val="0"/>
                    <w:ind w:left="0" w:firstLine="0"/>
                    <w:jc w:val="center"/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>SGCS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0"/>
                      <w:szCs w:val="20"/>
                    </w:rPr>
                    <w:t xml:space="preserve"> #</w:t>
                  </w:r>
                  <w:r>
                    <w:rPr>
                      <w:rFonts w:hint="default" w:ascii="Times New Roman" w:hAnsi="Times New Roman" w:eastAsia="宋体" w:cs="Times New Roman"/>
                      <w:i/>
                      <w:color w:val="000000"/>
                      <w:sz w:val="20"/>
                      <w:szCs w:val="20"/>
                    </w:rPr>
                    <w:t>v</w:t>
                  </w:r>
                </w:p>
              </w:tc>
            </w:tr>
          </w:tbl>
          <w:p w14:paraId="637E8E9A">
            <w:pPr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SGCS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eastAsia="zh-CN"/>
              </w:rPr>
              <w:t xml:space="preserve">1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is calculated based on predicted CSI for one inference reporting, and ground truth CSI, </w:t>
            </w:r>
          </w:p>
          <w:p w14:paraId="15D318BF">
            <w:pPr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SGCS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eastAsia="zh-CN"/>
              </w:rPr>
              <w:t xml:space="preserve">2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is based on ground truth CSI and CSI (non-predicted) corresponding to the latest CSI-RS transmission occasion not later than CSI reference resource of the inference reporting instance</w:t>
            </w:r>
          </w:p>
          <w:p w14:paraId="4CC86AC1">
            <w:pPr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SGCS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eastAsia="zh-CN"/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#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is the SGCS of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-th layer of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-th SGCS where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={1, …., 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}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and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 xml:space="preserve"> i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={1, 2}.</w:t>
            </w:r>
          </w:p>
          <w:p w14:paraId="489DAF06">
            <w:pPr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i/>
                <w:color w:val="000000"/>
                <w:sz w:val="20"/>
                <w:szCs w:val="20"/>
                <w:lang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 xml:space="preserve"> is the value of the reported RI in the associated inference report.</w:t>
            </w:r>
          </w:p>
          <w:p w14:paraId="7CE1A4DB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  <w:p w14:paraId="1CD511D0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RAN1#122 meeting</w:t>
            </w:r>
          </w:p>
          <w:p w14:paraId="1C34D6E1">
            <w:pPr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32242518">
            <w:pPr>
              <w:rPr>
                <w:rFonts w:hint="default" w:ascii="Times New Roman" w:hAnsi="Times New Roman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ko-KR"/>
              </w:rPr>
              <w:t>Adopt following TPs for TS38.214 Section 5.2.1.4.6.</w:t>
            </w:r>
          </w:p>
          <w:tbl>
            <w:tblPr>
              <w:tblStyle w:val="8"/>
              <w:tblW w:w="0" w:type="auto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99"/>
              <w:gridCol w:w="5898"/>
            </w:tblGrid>
            <w:tr w14:paraId="6804C68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05" w:type="dxa"/>
                  <w:shd w:val="clear" w:color="auto" w:fill="auto"/>
                </w:tcPr>
                <w:p w14:paraId="2FAFDBC4">
                  <w:pP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  <w:t>Reason for change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88EC413">
                  <w:pP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  <w:lang w:eastAsia="ko-KR"/>
                    </w:rPr>
                    <w:t xml:space="preserve">In current specification, there is no SGCS quantization mapping table. </w:t>
                  </w:r>
                </w:p>
              </w:tc>
            </w:tr>
            <w:tr w14:paraId="3EF576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05" w:type="dxa"/>
                  <w:shd w:val="clear" w:color="auto" w:fill="auto"/>
                </w:tcPr>
                <w:p w14:paraId="1A40D04F">
                  <w:pP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</w:rPr>
                    <w:t>Summary of change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3842112">
                  <w:pP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  <w:t>SGCS quantization mapping table is added.</w:t>
                  </w:r>
                </w:p>
              </w:tc>
            </w:tr>
            <w:tr w14:paraId="5BA32E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05" w:type="dxa"/>
                  <w:shd w:val="clear" w:color="auto" w:fill="auto"/>
                </w:tcPr>
                <w:p w14:paraId="69C16125">
                  <w:pP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</w:rPr>
                    <w:t>Consequences if not approved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B8B922">
                  <w:pP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Cs/>
                      <w:sz w:val="20"/>
                      <w:szCs w:val="20"/>
                      <w:lang w:eastAsia="zh-CN"/>
                    </w:rPr>
                    <w:t>Incomplete capture of the agreement.</w:t>
                  </w:r>
                </w:p>
              </w:tc>
            </w:tr>
            <w:tr w14:paraId="3F8300B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749" w:type="dxa"/>
                  <w:gridSpan w:val="2"/>
                  <w:shd w:val="clear" w:color="auto" w:fill="auto"/>
                </w:tcPr>
                <w:p w14:paraId="1E37480F">
                  <w:pP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/>
                      <w:sz w:val="20"/>
                      <w:szCs w:val="20"/>
                      <w:lang w:eastAsia="zh-CN"/>
                    </w:rPr>
                    <w:t>TS38.214</w:t>
                  </w:r>
                </w:p>
                <w:p w14:paraId="49D434DA">
                  <w:pP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  <w:t>5.2.1.4.6</w:t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  <w:tab/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  <w:t>CSI-PAI reporting</w:t>
                  </w:r>
                </w:p>
                <w:p w14:paraId="6CFC5B05">
                  <w:pPr>
                    <w:ind w:left="960" w:leftChars="400"/>
                    <w:jc w:val="center"/>
                    <w:rPr>
                      <w:rFonts w:hint="default" w:ascii="Times New Roman" w:hAnsi="Times New Roman" w:cs="Times New Roman"/>
                      <w:iCs/>
                      <w:color w:val="FF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&lt;&lt; Unchanged parts are omitted</w:t>
                  </w:r>
                  <w:r>
                    <w:rPr>
                      <w:rFonts w:hint="default" w:ascii="Times New Roman" w:hAnsi="Times New Roman" w:cs="Times New Roman"/>
                      <w:iCs/>
                      <w:color w:val="FF0000"/>
                      <w:sz w:val="20"/>
                      <w:szCs w:val="20"/>
                      <w:lang w:eastAsia="zh-CN"/>
                    </w:rPr>
                    <w:t xml:space="preserve"> &gt;&gt;</w:t>
                  </w:r>
                </w:p>
                <w:p w14:paraId="283CC821">
                  <w:pPr>
                    <w:numPr>
                      <w:ilvl w:val="0"/>
                      <w:numId w:val="7"/>
                    </w:numPr>
                    <w:ind w:left="714" w:hanging="357"/>
                    <w:contextualSpacing/>
                    <w:jc w:val="both"/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 w:eastAsia="zh-CN"/>
                    </w:rPr>
                    <w:t xml:space="preserve">each calculated SGCS value is quantized to a 4-bit field, where the first codepoint ‘0000’ is used to indicate (0 0.3] value range, and the value range [0.3, 1] is quantized in a linear scale with 0.05 step size. Detailed mapping is specified in </w:t>
                  </w:r>
                  <w:r>
                    <w:rPr>
                      <w:rFonts w:hint="default" w:ascii="Times New Roman" w:hAnsi="Times New Roman" w:cs="Times New Roman"/>
                      <w:strike/>
                      <w:color w:val="FF0000"/>
                      <w:sz w:val="20"/>
                      <w:szCs w:val="20"/>
                      <w:lang w:val="en-US" w:eastAsia="zh-CN"/>
                    </w:rPr>
                    <w:t>[xx, TS 38.abc]</w:t>
                  </w:r>
                  <w:r>
                    <w:rPr>
                      <w:rFonts w:hint="default" w:ascii="Times New Roman" w:hAnsi="Times New Roman" w:cs="Times New Roman"/>
                      <w:color w:val="FF0000"/>
                      <w:sz w:val="20"/>
                      <w:szCs w:val="20"/>
                      <w:lang w:val="en-US" w:eastAsia="zh-CN"/>
                    </w:rPr>
                    <w:t>Table 5.2.1.4.6-1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 w:eastAsia="zh-CN"/>
                    </w:rPr>
                    <w:t>.</w:t>
                  </w:r>
                </w:p>
                <w:p w14:paraId="3ED65076">
                  <w:pPr>
                    <w:jc w:val="center"/>
                    <w:rPr>
                      <w:rFonts w:hint="default" w:ascii="Times New Roman" w:hAnsi="Times New Roman" w:cs="Times New Roman"/>
                      <w:bCs/>
                      <w:color w:val="FF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color w:val="FF0000"/>
                      <w:sz w:val="20"/>
                      <w:szCs w:val="20"/>
                      <w:lang w:val="en-US"/>
                    </w:rPr>
                    <w:t>Table 5.2.1.4.6-1: SGCS Quantization Mapping</w:t>
                  </w:r>
                </w:p>
                <w:tbl>
                  <w:tblPr>
                    <w:tblStyle w:val="8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111"/>
                    <w:gridCol w:w="1550"/>
                  </w:tblGrid>
                  <w:tr w14:paraId="6DE33F0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E8E8E8"/>
                        <w:vAlign w:val="center"/>
                      </w:tcPr>
                      <w:p w14:paraId="3ED99AB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  <w:t>Code Point</w:t>
                        </w:r>
                      </w:p>
                    </w:tc>
                    <w:tc>
                      <w:tcPr>
                        <w:tcW w:w="0" w:type="auto"/>
                        <w:shd w:val="clear" w:color="auto" w:fill="E8E8E8"/>
                        <w:vAlign w:val="center"/>
                      </w:tcPr>
                      <w:p w14:paraId="3D11C5EF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Cs/>
                            <w:color w:val="FF0000"/>
                            <w:sz w:val="20"/>
                            <w:szCs w:val="20"/>
                          </w:rPr>
                          <w:t>Range</w:t>
                        </w:r>
                      </w:p>
                    </w:tc>
                  </w:tr>
                  <w:tr w14:paraId="3BC52EE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1F6149C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8818482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[0.0000, 0.3000]</w:t>
                        </w:r>
                      </w:p>
                    </w:tc>
                  </w:tr>
                  <w:tr w14:paraId="28169A2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6A5AFFC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6D5D1C6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(0.3000, 0.3500]</w:t>
                        </w:r>
                      </w:p>
                    </w:tc>
                  </w:tr>
                  <w:tr w14:paraId="72466EE3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062530E0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BD0BF44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(0.3500, 0.4000]</w:t>
                        </w:r>
                      </w:p>
                    </w:tc>
                  </w:tr>
                  <w:tr w14:paraId="20109AF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318FCD8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0A8A00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(0.4000, 0.4500]</w:t>
                        </w:r>
                      </w:p>
                    </w:tc>
                  </w:tr>
                  <w:tr w14:paraId="62612D9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815CED2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7AC270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(0.4500, 0.5000]</w:t>
                        </w:r>
                      </w:p>
                    </w:tc>
                  </w:tr>
                  <w:tr w14:paraId="2139BA1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51F376D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99E1934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(0.5000, 0.5500]</w:t>
                        </w:r>
                      </w:p>
                    </w:tc>
                  </w:tr>
                  <w:tr w14:paraId="7F068543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EA56BF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6B2B812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(0.5500, 0.6000]</w:t>
                        </w:r>
                      </w:p>
                    </w:tc>
                  </w:tr>
                  <w:tr w14:paraId="2936260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8336249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264E699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(0.6000, 0.6500]</w:t>
                        </w:r>
                      </w:p>
                    </w:tc>
                  </w:tr>
                  <w:tr w14:paraId="1A3025A4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1D5E3975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2CEFF97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(0.6500, 0.7000]</w:t>
                        </w:r>
                      </w:p>
                    </w:tc>
                  </w:tr>
                  <w:tr w14:paraId="1FA0159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420B9A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67E200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(0.7000, 0.7500]</w:t>
                        </w:r>
                      </w:p>
                    </w:tc>
                  </w:tr>
                  <w:tr w14:paraId="0EB81F01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B68582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D09DEE0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(0.7500, 0.8000]</w:t>
                        </w:r>
                      </w:p>
                    </w:tc>
                  </w:tr>
                  <w:tr w14:paraId="10672EF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488A24DB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76B4C7F0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(0.8000, 0.8500]</w:t>
                        </w:r>
                      </w:p>
                    </w:tc>
                  </w:tr>
                  <w:tr w14:paraId="6646830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6182497E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E4A5FB5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(0.8500, 0.9000]</w:t>
                        </w:r>
                      </w:p>
                    </w:tc>
                  </w:tr>
                  <w:tr w14:paraId="53CF5C0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3A1DD9C5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26382AD1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(0.9000, 0.9500]</w:t>
                        </w:r>
                      </w:p>
                    </w:tc>
                  </w:tr>
                  <w:tr w14:paraId="21E14060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5098886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69C767AD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(0.9500, 1.0000]</w:t>
                        </w:r>
                      </w:p>
                    </w:tc>
                  </w:tr>
                  <w:tr w14:paraId="28E21BC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596F6543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vAlign w:val="center"/>
                      </w:tcPr>
                      <w:p w14:paraId="218C92A2"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color w:val="FF0000"/>
                            <w:sz w:val="20"/>
                            <w:szCs w:val="20"/>
                          </w:rPr>
                          <w:t>Reserved</w:t>
                        </w:r>
                      </w:p>
                    </w:tc>
                  </w:tr>
                </w:tbl>
                <w:p w14:paraId="055093B6">
                  <w:pPr>
                    <w:jc w:val="center"/>
                    <w:rPr>
                      <w:rFonts w:hint="default" w:ascii="Times New Roman" w:hAnsi="Times New Roman" w:cs="Times New Roman"/>
                      <w:color w:val="A02B93"/>
                      <w:sz w:val="20"/>
                      <w:szCs w:val="20"/>
                    </w:rPr>
                  </w:pPr>
                </w:p>
                <w:p w14:paraId="7F3F6E9A">
                  <w:pPr>
                    <w:ind w:left="960" w:leftChars="400"/>
                    <w:jc w:val="center"/>
                    <w:rPr>
                      <w:rFonts w:hint="default" w:ascii="Times New Roman" w:hAnsi="Times New Roman" w:cs="Times New Roman"/>
                      <w:iCs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&lt;&lt; Unchanged parts are omitted</w:t>
                  </w:r>
                  <w:r>
                    <w:rPr>
                      <w:rFonts w:hint="default" w:ascii="Times New Roman" w:hAnsi="Times New Roman" w:cs="Times New Roman"/>
                      <w:iCs/>
                      <w:color w:val="FF0000"/>
                      <w:sz w:val="20"/>
                      <w:szCs w:val="20"/>
                      <w:lang w:eastAsia="zh-CN"/>
                    </w:rPr>
                    <w:t xml:space="preserve"> &gt;&gt;</w:t>
                  </w:r>
                </w:p>
              </w:tc>
            </w:tr>
          </w:tbl>
          <w:p w14:paraId="1FBEF5D9">
            <w:pPr>
              <w:rPr>
                <w:rFonts w:hint="default" w:ascii="Times New Roman" w:hAnsi="Times New Roman" w:cs="Times New Roman"/>
                <w:sz w:val="20"/>
                <w:szCs w:val="20"/>
                <w:lang w:val="en-US" w:eastAsia="ko-KR"/>
              </w:rPr>
            </w:pPr>
          </w:p>
          <w:p w14:paraId="63258D77">
            <w:pPr>
              <w:spacing w:after="180" w:line="240" w:lineRule="exact"/>
              <w:rPr>
                <w:rFonts w:hint="default" w:ascii="Times New Roman" w:hAnsi="Times New Roman" w:eastAsia="等线" w:cs="Times New Roman"/>
                <w:b w:val="0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4ABD3F6C">
      <w:pPr>
        <w:spacing w:after="180" w:line="240" w:lineRule="exact"/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</w:pPr>
    </w:p>
    <w:p w14:paraId="0087CE59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Normally, RAN4 need to define reporting mapping for the reported quantity. SGCS is newly introduced, and reporting mapping is required. 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 xml:space="preserve">According to RAN1 agreements, the reported SGCS value is quantized with 4-bit.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15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 xml:space="preserve">codepoints are used to uniformly quantize in </w:t>
      </w:r>
      <w:r>
        <w:rPr>
          <w:rFonts w:hint="default" w:ascii="Times New Roman" w:hAnsi="Times New Roman" w:cs="Times New Roman"/>
          <w:color w:val="000000"/>
          <w:sz w:val="20"/>
          <w:szCs w:val="20"/>
          <w:lang w:eastAsia="ko-KR"/>
        </w:rPr>
        <w:t>range [0.3 1</w:t>
      </w:r>
      <w:r>
        <w:rPr>
          <w:rFonts w:hint="default" w:ascii="Times New Roman" w:hAnsi="Times New Roman" w:eastAsia="宋体" w:cs="Times New Roman"/>
          <w:color w:val="000000"/>
          <w:sz w:val="20"/>
          <w:szCs w:val="20"/>
          <w:lang w:eastAsia="zh-CN"/>
        </w:rPr>
        <w:t>]</w:t>
      </w:r>
      <w:r>
        <w:rPr>
          <w:rFonts w:hint="default" w:ascii="Times New Roman" w:hAnsi="Times New Roman" w:cs="Times New Roman"/>
          <w:color w:val="000000"/>
          <w:sz w:val="20"/>
          <w:szCs w:val="20"/>
          <w:lang w:eastAsia="ko-KR"/>
        </w:rPr>
        <w:t xml:space="preserve"> in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linear scale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and one 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codepoint is used to indicate the value range of (0 0.3]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According to RAN1 latest agreements, SGCS quantization mapping table is added to TS 38.214. RAN4 no need to define the reporting mapping for SGCS. </w:t>
      </w:r>
    </w:p>
    <w:p w14:paraId="101A2BD0">
      <w:pPr>
        <w:spacing w:after="180" w:line="240" w:lineRule="exact"/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Proposal 1: for CSI prediction, RAN4 no need to define report mapping for SGCS, since RAN1 has defined the SGCS quantization mapping table in TS38.214.</w:t>
      </w:r>
    </w:p>
    <w:p w14:paraId="78BF9DF5">
      <w:pPr>
        <w:spacing w:after="180" w:line="240" w:lineRule="exact"/>
        <w:rPr>
          <w:rFonts w:hint="default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</w:pPr>
    </w:p>
    <w:p w14:paraId="6A93D8C3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In RAN1 #121 meeting, it was agreed that for CSI prediction using UE-side model, for inference, in addition to legacy Z/Z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doppler codebook, UE may report the value of t per SCS. Based on RAN1 agreements, the inference reporting delay shall be at least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legacy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Z/Z’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plus t, t is reported by UE.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8DAC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B5C73A4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  <w:t>RAN1 agreements in RAN1#121</w:t>
            </w:r>
          </w:p>
          <w:p w14:paraId="76331684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F6D818E">
            <w:pPr>
              <w:widowControl w:val="0"/>
              <w:suppressAutoHyphens/>
              <w:ind w:left="0" w:firstLine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For CSI prediction using UE-side model,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for inference, in addition to legacy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Z/Z’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 xml:space="preserve"> for doppler codebook,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UE may report the value of t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per SCS</w:t>
            </w:r>
          </w:p>
          <w:p w14:paraId="470FF8E1">
            <w:pPr>
              <w:widowControl w:val="0"/>
              <w:numPr>
                <w:ilvl w:val="0"/>
                <w:numId w:val="6"/>
              </w:numPr>
              <w:suppressAutoHyphens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Detailed value of t can be discussed in UE feature </w:t>
            </w:r>
          </w:p>
          <w:p w14:paraId="0230EF59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6FD41FF8">
      <w:pPr>
        <w:spacing w:after="180" w:line="240" w:lineRule="exact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</w:p>
    <w:p w14:paraId="0C20A264">
      <w:pPr>
        <w:spacing w:after="180" w:line="240" w:lineRule="exact"/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2: based on RAN1 agreements, for CSI prediction, the inference reporting delay is legacy Z/Z’ plus t, where t is reported by UE. </w:t>
      </w:r>
    </w:p>
    <w:p w14:paraId="12CDCCD3">
      <w:pPr>
        <w:spacing w:after="180" w:line="240" w:lineRule="exact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</w:p>
    <w:p w14:paraId="6628EBD4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1B14D987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CSI prediction. The proposals are:</w:t>
      </w:r>
    </w:p>
    <w:p w14:paraId="54630013">
      <w:pPr>
        <w:spacing w:after="180" w:line="240" w:lineRule="exact"/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Proposal 1: for CSI prediction, RAN4 no need to define report mapping for SGCS, since RAN1 has defined the SGCS quantization mapping table in TS38.214.</w:t>
      </w:r>
    </w:p>
    <w:p w14:paraId="4E53C264">
      <w:pPr>
        <w:spacing w:after="180" w:line="240" w:lineRule="exact"/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2: based on RAN1 agreements, for CSI prediction, the inference reporting delay is legacy Z/Z’ plus t, where t is reported by UE. </w:t>
      </w:r>
    </w:p>
    <w:p w14:paraId="45D8A888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</w:p>
    <w:p w14:paraId="778D4467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06FD4E51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15E4C339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243244,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6B6A316C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R4-2511890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AI/ML for air interface for [116][131], Qualcomm Incorporated</w:t>
      </w:r>
    </w:p>
    <w:p w14:paraId="1754C8D5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R4-2508080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NR_AIML_air_part1, Qualcomm Incorporated</w:t>
      </w:r>
    </w:p>
    <w:p w14:paraId="669889FF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R4-2505105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requirements for AI/ML air interface normative work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39518050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R4-2502856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the requirements for AI/ML air interfance, Qualcomm Incorporated</w:t>
      </w:r>
    </w:p>
    <w:p w14:paraId="3BA597AB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R4-2420513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part 1, Qualcomm Incorporated</w:t>
      </w:r>
    </w:p>
    <w:p w14:paraId="78013EBC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293AF0AA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789E0F27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5D53CE1A">
      <w:pPr>
        <w:pStyle w:val="13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11652D0C">
      <w:pPr>
        <w:pStyle w:val="13"/>
        <w:framePr w:wrap="auto" w:vAnchor="margin" w:hAnchor="text" w:yAlign="inline"/>
        <w:numPr>
          <w:ilvl w:val="0"/>
          <w:numId w:val="8"/>
        </w:numPr>
        <w:ind w:left="0" w:leftChars="0" w:right="400" w:firstLine="0" w:firstLineChars="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3GPP TR 38.843, Study on Artificial Intelligence (AI)/Machine Learning (ML) for NR air interface</w:t>
      </w:r>
    </w:p>
    <w:p w14:paraId="6E887E31">
      <w:pPr>
        <w:pStyle w:val="13"/>
        <w:framePr w:wrap="auto" w:vAnchor="margin" w:hAnchor="text" w:yAlign="inline"/>
        <w:numPr>
          <w:ilvl w:val="0"/>
          <w:numId w:val="8"/>
        </w:numPr>
        <w:ind w:left="0" w:leftChars="0" w:right="400" w:firstLine="0" w:firstLineChars="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R4-2502970, Baseline Simulation assumptions for AIML based CSI prediction</w:t>
      </w:r>
    </w:p>
    <w:p w14:paraId="629E0817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6702995A">
      <w:pPr>
        <w:pStyle w:val="13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691E966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4">
    <w:nsid w:val="65C87DC0"/>
    <w:multiLevelType w:val="multilevel"/>
    <w:tmpl w:val="65C87DC0"/>
    <w:lvl w:ilvl="0" w:tentative="0">
      <w:start w:val="0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eastAsia="Times New Roman" w:cs="Times New Roman"/>
        <w:color w:val="auto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>
    <w:nsid w:val="6B4F745A"/>
    <w:multiLevelType w:val="multilevel"/>
    <w:tmpl w:val="6B4F745A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游明朝" w:cs="Times New Roman"/>
      </w:rPr>
    </w:lvl>
    <w:lvl w:ilvl="1" w:tentative="0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8DB4C02"/>
    <w:multiLevelType w:val="multilevel"/>
    <w:tmpl w:val="78DB4C02"/>
    <w:lvl w:ilvl="0" w:tentative="0">
      <w:start w:val="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7795D"/>
    <w:rsid w:val="03611524"/>
    <w:rsid w:val="096168DE"/>
    <w:rsid w:val="0A12645E"/>
    <w:rsid w:val="0EA7453D"/>
    <w:rsid w:val="0EF868E9"/>
    <w:rsid w:val="0FC72972"/>
    <w:rsid w:val="0FE50EF5"/>
    <w:rsid w:val="104B4DE1"/>
    <w:rsid w:val="131967B4"/>
    <w:rsid w:val="15372CA7"/>
    <w:rsid w:val="15685863"/>
    <w:rsid w:val="15C5068C"/>
    <w:rsid w:val="1A4B52AF"/>
    <w:rsid w:val="1BBC5511"/>
    <w:rsid w:val="1C7B476C"/>
    <w:rsid w:val="1CB369A2"/>
    <w:rsid w:val="1DBE197E"/>
    <w:rsid w:val="1FBF393A"/>
    <w:rsid w:val="20D90991"/>
    <w:rsid w:val="21F40C42"/>
    <w:rsid w:val="26BF393B"/>
    <w:rsid w:val="28B43155"/>
    <w:rsid w:val="2CAD0457"/>
    <w:rsid w:val="2F6E5AEF"/>
    <w:rsid w:val="2F9B0DC5"/>
    <w:rsid w:val="308E7578"/>
    <w:rsid w:val="320E50AB"/>
    <w:rsid w:val="349C69DF"/>
    <w:rsid w:val="355918F8"/>
    <w:rsid w:val="375458D3"/>
    <w:rsid w:val="377A18C9"/>
    <w:rsid w:val="3A1105DA"/>
    <w:rsid w:val="3A3A1E13"/>
    <w:rsid w:val="3DEF01B7"/>
    <w:rsid w:val="408D0C45"/>
    <w:rsid w:val="40973256"/>
    <w:rsid w:val="45AD34DF"/>
    <w:rsid w:val="49A01FC5"/>
    <w:rsid w:val="4B792CDC"/>
    <w:rsid w:val="4D3D03C8"/>
    <w:rsid w:val="512A0C17"/>
    <w:rsid w:val="513C2E56"/>
    <w:rsid w:val="55135D59"/>
    <w:rsid w:val="55FB6C1C"/>
    <w:rsid w:val="5A99268A"/>
    <w:rsid w:val="5ABF3A5C"/>
    <w:rsid w:val="5D6D78B2"/>
    <w:rsid w:val="5F401ED1"/>
    <w:rsid w:val="61761ECF"/>
    <w:rsid w:val="65711B39"/>
    <w:rsid w:val="66A80E51"/>
    <w:rsid w:val="68232E85"/>
    <w:rsid w:val="682B15F5"/>
    <w:rsid w:val="68661B41"/>
    <w:rsid w:val="6D205895"/>
    <w:rsid w:val="6E056E0D"/>
    <w:rsid w:val="701F0781"/>
    <w:rsid w:val="7036127C"/>
    <w:rsid w:val="73E61131"/>
    <w:rsid w:val="748A0340"/>
    <w:rsid w:val="75886832"/>
    <w:rsid w:val="77367590"/>
    <w:rsid w:val="77D942B0"/>
    <w:rsid w:val="7C3F4164"/>
    <w:rsid w:val="7DC2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rPr>
      <w:b/>
      <w:bCs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</w:style>
  <w:style w:type="paragraph" w:styleId="6">
    <w:name w:val="Date"/>
    <w:basedOn w:val="1"/>
    <w:next w:val="1"/>
    <w:unhideWhenUsed/>
    <w:qFormat/>
    <w:uiPriority w:val="99"/>
    <w:pPr>
      <w:ind w:left="100" w:leftChars="2500"/>
    </w:pPr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9">
    <w:name w:val="Table Grid"/>
    <w:basedOn w:val="8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2">
    <w:name w:val="Proposal"/>
    <w:basedOn w:val="5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CMCC-Jingjing</cp:lastModifiedBy>
  <dcterms:modified xsi:type="dcterms:W3CDTF">2025-10-02T02:20:30Z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6869B0C1A34749A384ADE3AAD7A61322</vt:lpwstr>
  </property>
</Properties>
</file>